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309"/>
        <w:ind w:left="284" w:right="140"/>
        <w:spacing w:before="0" w:after="0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276"/>
        <w:ind w:firstLine="567"/>
        <w:jc w:val="center"/>
        <w:tabs>
          <w:tab w:val="left" w:pos="142" w:leader="none"/>
          <w:tab w:val="center" w:pos="1134" w:leader="none"/>
        </w:tabs>
        <w:rPr>
          <w:b/>
          <w:i/>
          <w:sz w:val="28"/>
          <w:szCs w:val="28"/>
        </w:rPr>
        <w:outlineLvl w:val="0"/>
      </w:pPr>
      <w:r>
        <w:rPr>
          <w:b/>
          <w:i/>
          <w:sz w:val="28"/>
          <w:szCs w:val="28"/>
        </w:rPr>
        <w:t xml:space="preserve">Приглашение к участию в закупке способом сравнения цен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276"/>
        <w:ind w:firstLine="567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tabs>
          <w:tab w:val="left" w:pos="3933" w:leader="none"/>
        </w:tabs>
        <w:outlineLvl w:val="0"/>
      </w:pPr>
      <w:r>
        <w:rPr>
          <w:b/>
          <w:i/>
          <w:sz w:val="28"/>
          <w:szCs w:val="28"/>
        </w:rPr>
        <w:tab/>
      </w:r>
      <w:r/>
    </w:p>
    <w:p>
      <w:pPr>
        <w:pStyle w:val="1276"/>
        <w:jc w:val="both"/>
        <w:rPr>
          <w:b/>
          <w:bCs/>
          <w:spacing w:val="-2"/>
        </w:rPr>
      </w:pPr>
      <w:r>
        <w:t xml:space="preserve">Публичное акционерное общество «</w:t>
      </w:r>
      <w:r>
        <w:rPr>
          <w:rFonts w:cs="Segoe UI"/>
          <w:color w:val="262626"/>
        </w:rPr>
        <w:t xml:space="preserve">Россети Московский регион</w:t>
      </w:r>
      <w:r>
        <w:t xml:space="preserve">» (далее - «Россети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063"/>
      </w:tblGrid>
      <w:tr>
        <w:tblPrEx/>
        <w:trPr>
          <w:trHeight w:val="5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Выполнение техническое обслуживанию ТП № 24247 (с 2-мя трансформаторами по 1000 кВА) на объекте, расположенном по адресу: 143033, Московская область, г.о. Одинцовский, п. Горки-2, тер. Подмосковная усадьба, д. 1 стр. 2.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ия (далее -ТЗ).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r>
          </w:p>
        </w:tc>
      </w:tr>
    </w:tbl>
    <w:p>
      <w:pPr>
        <w:jc w:val="both"/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t xml:space="preserve">(далее - Стандарт, Положение о закупке), утвержденного решением Совета Директоров ПАО «</w:t>
      </w:r>
      <w:r>
        <w:rPr>
          <w:rFonts w:cs="Segoe UI"/>
        </w:rPr>
        <w:t xml:space="preserve">Россети Московский регион</w:t>
      </w:r>
      <w:r>
        <w:t xml:space="preserve">» (протокол от 03.02.2023 №</w:t>
      </w:r>
      <w:r>
        <w:t xml:space="preserve"> </w:t>
      </w:r>
      <w:r>
        <w:t xml:space="preserve">536).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/>
      <w:bookmarkStart w:id="0" w:name="_Ref119427085"/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0"/>
      <w:r/>
      <w:r/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>
        <w:rPr>
          <w:b/>
          <w:i/>
          <w:spacing w:val="-2"/>
        </w:rPr>
      </w:r>
      <w:r>
        <w:rPr>
          <w:b/>
          <w:i/>
          <w:spacing w:val="-2"/>
        </w:rPr>
      </w:r>
    </w:p>
    <w:p>
      <w:pPr>
        <w:pStyle w:val="1276"/>
        <w:numPr>
          <w:ilvl w:val="0"/>
          <w:numId w:val="6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 информация о закупке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 проводится в электронной форме.</w:t>
      </w:r>
      <w:r>
        <w:rPr>
          <w:i/>
        </w:rPr>
      </w:r>
      <w:r>
        <w:rPr>
          <w:i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Ограничение участия только субъектом малого и среднего предпринимательства: установлено.</w:t>
      </w:r>
      <w:r/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АО РАД https://tender.lot-online.ru/.</w:t>
      </w:r>
      <w:r>
        <w:rPr>
          <w:i/>
        </w:rPr>
      </w:r>
      <w:r>
        <w:rPr>
          <w:i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Наименование Заказчика: Филиал ПАО «Россети Московский Регион» - «Западные электрические сети»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Место нахождения и почтовый адрес Заказчика (Организатора): РФ, 143006, Московская область, г. Одинцово, Транспортный проезд, дом 32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firstLine="142"/>
        <w:rPr>
          <w:rFonts w:eastAsia="Calibri"/>
          <w:color w:val="000000"/>
          <w:lang w:val="en-US"/>
        </w:rPr>
      </w:pPr>
      <w:r>
        <w:rPr>
          <w:rFonts w:eastAsia="Calibri"/>
          <w:lang w:val="en-US"/>
        </w:rPr>
        <w:t xml:space="preserve">E-mail: </w:t>
      </w:r>
      <w:r>
        <w:fldChar w:fldCharType="begin"/>
      </w:r>
      <w:r>
        <w:rPr>
          <w:lang w:val="en-US"/>
        </w:rPr>
        <w:instrText xml:space="preserve"> HYPERLINK "mailto:zes@moesk.ru" \h </w:instrText>
      </w:r>
      <w:r>
        <w:fldChar w:fldCharType="separate"/>
      </w:r>
      <w:r>
        <w:rPr>
          <w:rFonts w:eastAsia="Calibri"/>
          <w:color w:val="0000ff"/>
          <w:u w:val="single"/>
          <w:lang w:val="en-US"/>
        </w:rPr>
        <w:t xml:space="preserve">zes@moesk.ru</w:t>
      </w:r>
      <w:r>
        <w:rPr>
          <w:rFonts w:eastAsia="Calibri"/>
          <w:color w:val="0000ff"/>
          <w:u w:val="single"/>
          <w:lang w:val="en-US"/>
        </w:rPr>
        <w:fldChar w:fldCharType="end"/>
      </w:r>
      <w:r>
        <w:rPr>
          <w:rFonts w:eastAsia="Calibri"/>
          <w:color w:val="000000"/>
          <w:lang w:val="en-US"/>
        </w:rPr>
      </w:r>
      <w:r>
        <w:rPr>
          <w:rFonts w:eastAsia="Calibri"/>
          <w:color w:val="000000"/>
          <w:lang w:val="en-US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Контактное лицо Заказчика: Рябова Яна Анатольевна.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</w:rPr>
        <w:tab/>
      </w:r>
      <w:r>
        <w:rPr>
          <w:rFonts w:eastAsia="Calibri"/>
          <w:lang w:val="en-US"/>
        </w:rPr>
        <w:t xml:space="preserve">E-mail: RyabovaYA@rossetimr.ru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  <w:i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 </w:t>
      </w:r>
      <w:r>
        <w:rPr>
          <w:rFonts w:eastAsia="Calibri"/>
          <w:i/>
          <w:lang w:val="en-US"/>
        </w:rPr>
      </w:r>
      <w:r>
        <w:rPr>
          <w:rFonts w:eastAsia="Calibri"/>
          <w:i/>
          <w:lang w:val="en-US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bCs/>
          <w:spacing w:val="-2"/>
        </w:rPr>
      </w:pPr>
      <w:r>
        <w:rPr>
          <w:b/>
          <w:bCs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>
        <w:rPr>
          <w:b/>
          <w:bCs/>
        </w:rPr>
        <w:t xml:space="preserve">:</w:t>
      </w:r>
      <w:r>
        <w:rPr>
          <w:b/>
          <w:spacing w:val="-2"/>
        </w:rPr>
        <w:t xml:space="preserve"> </w:t>
      </w:r>
      <w:r>
        <w:rPr>
          <w:spacing w:val="-2"/>
        </w:rPr>
        <w:t xml:space="preserve">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Look w:val="04A0" w:firstRow="1" w:lastRow="0" w:firstColumn="1" w:lastColumn="0" w:noHBand="0" w:noVBand="1"/>
      </w:tblPr>
      <w:tblGrid>
        <w:gridCol w:w="2258"/>
        <w:gridCol w:w="3863"/>
        <w:gridCol w:w="1238"/>
        <w:gridCol w:w="1028"/>
        <w:gridCol w:w="1028"/>
        <w:gridCol w:w="1028"/>
        <w:gridCol w:w="2438"/>
        <w:gridCol w:w="1028"/>
        <w:gridCol w:w="1583"/>
      </w:tblGrid>
      <w:tr>
        <w:tblPrEx/>
        <w:trPr>
          <w:trHeight w:val="525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Выполнение техническое обслуживанию ТП № 24247 (с 2-мя трансформаторами по 1000 кВА) на объекте, расположенном по адресу: 143033, Московская область, г.о. Одинцовский, п. Горки-2, тер. Подмосковная усадьба, д. 1 стр. 2.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ия (далее -ТЗ)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rPr>
          <w:b/>
        </w:rPr>
        <w:t xml:space="preserve">Сведения о начальной (максимальной) цене договора (цена лота)</w:t>
      </w:r>
      <w:r>
        <w:rPr>
          <w:rFonts w:eastAsia="Calibri"/>
          <w:b/>
        </w:rPr>
        <w:t xml:space="preserve"> - НМЦ</w:t>
      </w:r>
      <w:r/>
    </w:p>
    <w:p>
      <w:pPr>
        <w:jc w:val="both"/>
        <w:rPr>
          <w:b/>
          <w:bCs/>
        </w:rPr>
      </w:pPr>
      <w:r>
        <w:rPr>
          <w:b/>
        </w:rPr>
        <w:t xml:space="preserve">Начальная (максимальная) цена договора составляет 139 000,00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в т.ч. НДС 2</w:t>
      </w:r>
      <w:r>
        <w:rPr>
          <w:b/>
          <w:u w:val="single"/>
        </w:rPr>
        <w:t xml:space="preserve">2</w:t>
      </w:r>
      <w:r>
        <w:rPr>
          <w:b/>
          <w:u w:val="single"/>
        </w:rPr>
        <w:t xml:space="preserve">%</w:t>
      </w:r>
      <w:r>
        <w:t xml:space="preserve">, и включает в себя все расходы участника, связанные с реализацией его заявки, в том числе все виды налогов, сборов и иных платежей.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ind w:firstLine="567"/>
        <w:jc w:val="both"/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 </w:t>
      </w:r>
      <w:r>
        <w:rPr>
          <w:color w:val="000000"/>
        </w:rPr>
        <w:t xml:space="preserve">при неизменной НМЦ.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Порядок подачи, изменения и отзыва заявок участников.</w:t>
      </w:r>
      <w:r/>
    </w:p>
    <w:p>
      <w:pPr>
        <w:pStyle w:val="1276"/>
        <w:numPr>
          <w:ilvl w:val="1"/>
          <w:numId w:val="8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электронной форме 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неэлектронной форме участник закупки подает заявку на электронный адрес контактного лица Заказчика, указанного в п. 1.2. настоящего Приглашения;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вправе подать только одну заявку;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закупки, подавший заявку, вправе изменить или отозвать заявку в любое время до момента окончания срока подачи заявок;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Сроки проведения этапов закупки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начала срока подачи заявок: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i/>
          <w:color w:val="000000"/>
        </w:rPr>
        <w:t xml:space="preserve">«09</w:t>
      </w:r>
      <w:r>
        <w:rPr>
          <w:i/>
          <w:color w:val="000000"/>
        </w:rPr>
        <w:t xml:space="preserve">»</w:t>
      </w:r>
      <w:r>
        <w:rPr>
          <w:i/>
          <w:color w:val="000000"/>
        </w:rPr>
        <w:t xml:space="preserve"> сентября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 xml:space="preserve">202</w:t>
      </w:r>
      <w:r>
        <w:rPr>
          <w:i/>
          <w:color w:val="000000"/>
        </w:rPr>
        <w:t xml:space="preserve">6</w:t>
      </w:r>
      <w:r>
        <w:rPr>
          <w:i/>
          <w:color w:val="000000"/>
        </w:rPr>
        <w:t xml:space="preserve"> года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и время окончания срока, последний день срока подачи заявок</w:t>
      </w:r>
      <w:r>
        <w:rPr>
          <w:color w:val="000000"/>
        </w:rPr>
        <w:t xml:space="preserve">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  <w:color w:val="000000"/>
        </w:rPr>
      </w:pPr>
      <w:r>
        <w:rPr>
          <w:i/>
          <w:color w:val="000000"/>
        </w:rPr>
        <w:t xml:space="preserve">«11</w:t>
      </w:r>
      <w:r>
        <w:rPr>
          <w:i/>
          <w:color w:val="000000"/>
        </w:rPr>
        <w:t xml:space="preserve">» сентября</w:t>
      </w:r>
      <w:r>
        <w:rPr>
          <w:i/>
          <w:color w:val="000000"/>
        </w:rPr>
        <w:t xml:space="preserve"> 202</w:t>
      </w:r>
      <w:r>
        <w:rPr>
          <w:i/>
          <w:color w:val="000000"/>
        </w:rPr>
        <w:t xml:space="preserve">6 </w:t>
      </w:r>
      <w:r>
        <w:rPr>
          <w:i/>
          <w:color w:val="000000"/>
        </w:rPr>
        <w:t xml:space="preserve">года 08</w:t>
      </w:r>
      <w:r>
        <w:rPr>
          <w:i/>
          <w:color w:val="000000"/>
        </w:rPr>
        <w:t xml:space="preserve">:00 (время московское)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" w:name="_Ref468097559"/>
      <w:r>
        <w:rPr>
          <w:b/>
        </w:rPr>
        <w:t xml:space="preserve">Применение </w:t>
      </w:r>
      <w:bookmarkEnd w:id="1"/>
      <w:r>
        <w:rPr>
          <w:b/>
        </w:rPr>
        <w:t xml:space="preserve">преференций</w:t>
      </w:r>
      <w:r>
        <w:rPr>
          <w:b/>
        </w:rPr>
      </w:r>
      <w:r>
        <w:rPr>
          <w:b/>
        </w:rPr>
      </w:r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bookmarkStart w:id="2" w:name="_Ref30949088"/>
      <w:r/>
      <w:bookmarkEnd w:id="2"/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1276" w:leader="none"/>
        </w:tabs>
      </w:pPr>
      <w:r>
        <w:rPr>
          <w:sz w:val="24"/>
          <w:szCs w:val="24"/>
        </w:rPr>
        <w:t xml:space="preserve">          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0" w:leader="none"/>
        </w:tabs>
      </w:pPr>
      <w:r>
        <w:rPr>
          <w:sz w:val="24"/>
          <w:szCs w:val="24"/>
        </w:rPr>
        <w:t xml:space="preserve">    1.6.3. Если иное не предусмотрено мерами, приня</w:t>
      </w:r>
      <w:r>
        <w:rPr>
          <w:sz w:val="24"/>
          <w:szCs w:val="24"/>
        </w:rPr>
        <w:t xml:space="preserve">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поставку такого товара; 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 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keepLines/>
        <w:spacing w:line="240" w:lineRule="auto"/>
        <w:widowControl w:val="off"/>
        <w:tabs>
          <w:tab w:val="left" w:pos="709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   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</w:t>
      </w:r>
      <w:r>
        <w:rPr>
          <w:sz w:val="24"/>
          <w:szCs w:val="24"/>
        </w:rPr>
        <w:t xml:space="preserve">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bCs/>
          <w:sz w:val="24"/>
          <w:szCs w:val="24"/>
        </w:rPr>
        <w:t xml:space="preserve">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709" w:leader="none"/>
          <w:tab w:val="left" w:pos="1620" w:leader="none"/>
        </w:tabs>
      </w:pPr>
      <w:r>
        <w:rPr>
          <w:bCs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перемена подрядчика (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</w:pPr>
      <w:r>
        <w:rPr>
          <w:sz w:val="24"/>
          <w:szCs w:val="24"/>
        </w:rPr>
        <w:t xml:space="preserve">  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при рассмотрении, оценке, сопоставлении заявок на участие в закупке способом сравнения цен, осуществляется снижение на 15 (пятнадцать) % (процентов) ценового предлож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/>
    </w:p>
    <w:p>
      <w:pPr>
        <w:pStyle w:val="1279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/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sz w:val="24"/>
          <w:szCs w:val="24"/>
        </w:rPr>
        <w:t xml:space="preserve">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 Во всем,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pStyle w:val="1276"/>
        <w:jc w:val="both"/>
        <w:keepNext/>
        <w:tabs>
          <w:tab w:val="left" w:pos="142" w:leader="none"/>
          <w:tab w:val="center" w:pos="1134" w:leader="none"/>
        </w:tabs>
        <w:outlineLvl w:val="1"/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" w:name="_Toc5718770"/>
      <w:r>
        <w:rPr>
          <w:b/>
        </w:rPr>
        <w:t xml:space="preserve">Требования к оформлению заявки </w:t>
      </w:r>
      <w:bookmarkEnd w:id="3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4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5" w:name="_Ref11475563"/>
      <w:r>
        <w:t xml:space="preserve">Если в документах, входящих в состав заявки, </w:t>
      </w:r>
      <w:bookmarkEnd w:id="5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6" w:name="_Toc5718771"/>
      <w:r/>
      <w:bookmarkStart w:id="7" w:name="_Toc387652312"/>
      <w:r/>
      <w:bookmarkStart w:id="8" w:name="_Toc123405469"/>
      <w:r>
        <w:rPr>
          <w:b/>
        </w:rPr>
        <w:t xml:space="preserve">Язык документов, входящих в состав заявки </w:t>
      </w:r>
      <w:bookmarkEnd w:id="6"/>
      <w:r/>
      <w:bookmarkEnd w:id="7"/>
      <w:r/>
      <w:bookmarkEnd w:id="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t xml:space="preserve">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9" w:name="_Toc51811927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9"/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0" w:name="_Toc5718772"/>
      <w:r>
        <w:rPr>
          <w:b/>
        </w:rPr>
        <w:t xml:space="preserve">Требования к валюте </w:t>
      </w:r>
      <w:bookmarkEnd w:id="10"/>
      <w:r>
        <w:rPr>
          <w:b/>
        </w:rPr>
        <w:t xml:space="preserve">заявки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1" w:name="_Hlt517806775"/>
      <w:r/>
      <w:bookmarkEnd w:id="11"/>
      <w:r/>
      <w:bookmarkStart w:id="12" w:name="_Ref52534291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1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3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3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4" w:name="_Ref119430333"/>
      <w:r/>
      <w:bookmarkStart w:id="15" w:name="_Ref119429784"/>
      <w:r/>
      <w:bookmarkStart w:id="16" w:name="_Toc5718773"/>
      <w:r/>
      <w:bookmarkStart w:id="17" w:name="_Ref119429817"/>
      <w:r/>
      <w:bookmarkStart w:id="18" w:name="_Toc123405470"/>
      <w:r>
        <w:rPr>
          <w:b/>
        </w:rPr>
        <w:t xml:space="preserve">Требования к составу заявки </w:t>
      </w:r>
      <w:bookmarkEnd w:id="14"/>
      <w:r/>
      <w:bookmarkEnd w:id="15"/>
      <w:r/>
      <w:bookmarkEnd w:id="16"/>
      <w:r/>
      <w:bookmarkEnd w:id="17"/>
      <w:r/>
      <w:bookmarkEnd w:id="1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3143"/>
      <w:r>
        <w:t xml:space="preserve">Заявка на участие должна содержать сведения и документы, указанные в </w:t>
      </w:r>
      <w:bookmarkEnd w:id="19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20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286523204"/>
      <w:r/>
      <w:bookmarkEnd w:id="21"/>
      <w:r/>
      <w:bookmarkStart w:id="22" w:name="_Toc123405471"/>
      <w:r/>
      <w:bookmarkEnd w:id="22"/>
      <w:r/>
      <w:bookmarkStart w:id="23" w:name="_Toc123405472"/>
      <w:r/>
      <w:bookmarkStart w:id="24" w:name="_Toc5718774"/>
      <w:r>
        <w:rPr>
          <w:b/>
        </w:rPr>
        <w:t xml:space="preserve">Требования к описанию </w:t>
      </w:r>
      <w:bookmarkEnd w:id="23"/>
      <w:r>
        <w:rPr>
          <w:b/>
        </w:rPr>
        <w:t xml:space="preserve">заявки участника закупки</w:t>
      </w:r>
      <w:bookmarkEnd w:id="24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5" w:name="_Toc286523204_Копия_1"/>
      <w:r/>
      <w:bookmarkEnd w:id="25"/>
      <w:r/>
      <w:bookmarkStart w:id="26" w:name="_Toc123405471_Копия_1"/>
      <w:r/>
      <w:bookmarkEnd w:id="26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r>
        <w:t xml:space="preserve">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pStyle w:val="1276"/>
        <w:numPr>
          <w:ilvl w:val="0"/>
          <w:numId w:val="10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  <w:color w:val="000000"/>
        </w:rPr>
        <w:t xml:space="preserve">должен </w:t>
      </w:r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</w:t>
      </w:r>
      <w:r>
        <w:rPr>
          <w:bCs/>
          <w:color w:val="000000"/>
        </w:rPr>
        <w:t xml:space="preserve">должен находиться в процессе ликвидации; должно отсутствовать вступившее в законную силу решение арбитраж</w:t>
      </w:r>
      <w:r>
        <w:rPr>
          <w:bCs/>
          <w:color w:val="000000"/>
        </w:rPr>
        <w:t xml:space="preserve">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</w:t>
      </w:r>
      <w:r>
        <w:rPr>
          <w:rStyle w:val="1294"/>
          <w:bCs/>
          <w:color w:val="000000"/>
        </w:rPr>
        <w:footnoteReference w:id="2"/>
      </w:r>
      <w:r>
        <w:rPr>
          <w:bCs/>
          <w:color w:val="000000"/>
        </w:rPr>
        <w:t xml:space="preserve">(для юридического лица, индивидуального предпринимателя);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а) т</w:t>
      </w:r>
      <w:r>
        <w:rPr>
          <w:bCs/>
          <w:szCs w:val="16"/>
        </w:rPr>
        <w:t xml:space="preserve">олько для закупок с  наличием в предмете закупки проект</w:t>
      </w:r>
      <w:r>
        <w:rPr>
          <w:bCs/>
          <w:szCs w:val="16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bCs/>
          <w:szCs w:val="16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bCs/>
          <w:szCs w:val="16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1294"/>
          <w:b/>
          <w:bCs/>
          <w:szCs w:val="16"/>
        </w:rPr>
        <w:footnoteReference w:id="3"/>
      </w:r>
      <w:r>
        <w:rPr>
          <w:bCs/>
          <w:szCs w:val="16"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  <w:szCs w:val="16"/>
        </w:rPr>
        <w:outlineLvl w:val="0"/>
      </w:pPr>
      <w:r>
        <w:rPr>
          <w:bCs/>
        </w:rPr>
        <w:t xml:space="preserve">б) н</w:t>
      </w:r>
      <w:r>
        <w:rPr>
          <w:bCs/>
          <w:szCs w:val="16"/>
        </w:rPr>
        <w:t xml:space="preserve">аличие документов по охране труда в соответствии с Приказом Минтруда России от 15.12.2020 N 903н "Об утверждении Правил по о</w:t>
      </w:r>
      <w:r>
        <w:rPr>
          <w:bCs/>
          <w:szCs w:val="16"/>
        </w:rPr>
        <w:t xml:space="preserve">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  <w:r>
        <w:rPr>
          <w:bCs/>
          <w:szCs w:val="16"/>
        </w:rPr>
      </w:r>
      <w:r>
        <w:rPr>
          <w:bCs/>
          <w:szCs w:val="16"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в) с</w:t>
      </w:r>
      <w:r>
        <w:rPr>
          <w:bCs/>
        </w:rPr>
        <w:t xml:space="preserve"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1294"/>
          <w:b/>
          <w:bCs/>
        </w:rPr>
        <w:footnoteReference w:id="4"/>
      </w:r>
      <w:r>
        <w:rPr>
          <w:bCs/>
        </w:rPr>
        <w:t xml:space="preserve"> и требованиям по порядку формирования договорной цены. Непревышение ценовых лимитов ТЗ;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г) с</w:t>
      </w:r>
      <w:r>
        <w:rPr>
          <w:bCs/>
        </w:rPr>
        <w:t xml:space="preserve">оответствие сроков выполнения работ требованиям ТЗ;</w:t>
      </w:r>
      <w:r>
        <w:rPr>
          <w:bCs/>
        </w:rPr>
      </w:r>
      <w:r>
        <w:rPr>
          <w:bCs/>
        </w:rPr>
      </w:r>
    </w:p>
    <w:p>
      <w:pPr>
        <w:pStyle w:val="1276"/>
        <w:ind w:left="720" w:hanging="153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</w:rPr>
        <w:t xml:space="preserve">д) соответствие условий оплаты требованиям ТЗ.</w:t>
      </w:r>
      <w:r>
        <w:rPr>
          <w:bCs/>
        </w:rPr>
      </w:r>
      <w:r>
        <w:rPr>
          <w:bCs/>
        </w:rPr>
      </w:r>
    </w:p>
    <w:p>
      <w:pPr>
        <w:pStyle w:val="1276"/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ПРОВЕДЕНИЯ ЗАКУПКИ (ЭТАПОВ ЗАКУПКИ), ПОДВЕДЕНИЯ ИТОГОВ ЗАКУПКИ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</w:t>
      </w:r>
      <w:r>
        <w:t xml:space="preserve">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pStyle w:val="1276"/>
        <w:numPr>
          <w:ilvl w:val="0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цен.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</w:t>
      </w:r>
      <w:r>
        <w:t xml:space="preserve">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pStyle w:val="1276"/>
        <w:numPr>
          <w:ilvl w:val="0"/>
          <w:numId w:val="14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5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</w:t>
      </w:r>
      <w:r>
        <w:t xml:space="preserve">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309"/>
        <w:ind w:left="0"/>
        <w:spacing w:before="0" w:after="0"/>
      </w:pPr>
      <w:r>
        <w:t xml:space="preserve">Приложения: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Техническое задание;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Проект договора;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Форма заявки на участие в закупке с приложениями.</w:t>
      </w:r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spacing w:before="0" w:after="0"/>
      </w:pPr>
      <w:r>
        <w:t xml:space="preserve">Начальник отдела договорной работы</w:t>
      </w:r>
      <w:r/>
    </w:p>
    <w:p>
      <w:pPr>
        <w:pStyle w:val="1309"/>
        <w:ind w:left="0"/>
        <w:spacing w:before="0" w:after="0"/>
      </w:pPr>
      <w:r>
        <w:t xml:space="preserve">управления реализации дополнительных услуг</w:t>
      </w:r>
      <w:r/>
    </w:p>
    <w:p>
      <w:pPr>
        <w:pStyle w:val="1309"/>
        <w:ind w:left="0"/>
        <w:spacing w:before="0" w:after="0"/>
      </w:pPr>
      <w:r>
        <w:t xml:space="preserve">Западных электрических сетей филиала </w:t>
      </w:r>
      <w:r/>
    </w:p>
    <w:p>
      <w:pPr>
        <w:pStyle w:val="1309"/>
        <w:ind w:left="0"/>
        <w:spacing w:before="0" w:after="0"/>
      </w:pPr>
      <w:r>
        <w:t xml:space="preserve">ПАО «Россети Московский регион»</w:t>
        <w:tab/>
        <w:t xml:space="preserve">                                                                          Я.А. Рябова</w:t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766" w:right="709" w:bottom="1021" w:left="1134" w:header="709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Noto Sans">
    <w:panose1 w:val="020B0502040504020204"/>
  </w:font>
  <w:font w:name="PF Din Text Cond Pro Light">
    <w:panose1 w:val="02000000000000000000"/>
  </w:font>
  <w:font w:name="Tahoma">
    <w:panose1 w:val="020B0604030504040204"/>
  </w:font>
  <w:font w:name="Times New Roman">
    <w:panose1 w:val="02020603050405020304"/>
  </w:font>
  <w:font w:name="Calibri Light">
    <w:panose1 w:val="020F0502020204030204"/>
  </w:font>
  <w:font w:name="Cambria">
    <w:panose1 w:val="02040503050406030204"/>
  </w:font>
  <w:font w:name="Arial">
    <w:panose1 w:val="020B0604020202020204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318"/>
      </w:pPr>
      <w:r>
        <w:rPr>
          <w:rStyle w:val="1293"/>
        </w:rPr>
        <w:footnoteRef/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1318"/>
      </w:pPr>
      <w:r>
        <w:rPr>
          <w:rStyle w:val="1293"/>
        </w:rPr>
        <w:footnoteRef/>
      </w:r>
      <w:r>
        <w:t xml:space="preserve"> В случае, если выписка из Единого реестра сведений о членах саморегулируемых организаций не представлена 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1318"/>
      </w:pPr>
      <w:r>
        <w:rPr>
          <w:rStyle w:val="1293"/>
        </w:rPr>
        <w:footnoteRef/>
      </w:r>
      <w:r>
        <w:t xml:space="preserve"> При закупках на выполнение СМР, ПНР.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130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<wp:simplePos x="0" y="0"/>
              <wp:positionH relativeFrom="page">
                <wp:align>center</wp:align>
              </wp:positionH>
              <wp:positionV relativeFrom="paragraph">
                <wp:posOffset>-257174</wp:posOffset>
              </wp:positionV>
              <wp:extent cx="7531100" cy="2157095"/>
              <wp:effectExtent l="0" t="0" r="0" b="0"/>
              <wp:wrapSquare wrapText="bothSides"/>
              <wp:docPr id="1" name="_x0000_s205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531100" cy="2157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524288;o:allowoverlap:true;o:allowincell:false;mso-position-horizontal-relative:page;mso-position-horizontal:center;mso-position-vertical-relative:text;margin-top:-20.25pt;mso-position-vertical:absolute;width:593.00pt;height:169.8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3" behindDoc="1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2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250609663;o:allowoverlap:true;o:allowincell:true;mso-position-horizontal-relative:text;margin-left:115.4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2" behindDoc="1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3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2" o:spid="_x0000_s2" o:spt="1" type="#_x0000_t1" style="position:absolute;z-index:-250609662;o:allowoverlap:true;o:allowincell:true;mso-position-horizontal-relative:text;margin-left:8.9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1" behindDoc="1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4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3" o:spid="_x0000_s3" o:spt="1" type="#_x0000_t1" style="position:absolute;z-index:-250609661;o:allowoverlap:true;o:allowincell:true;mso-position-horizontal-relative:text;margin-left:121.45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0" behindDoc="1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5" name="_x0000_s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4" o:spid="_x0000_s4" o:spt="1" type="#_x0000_t1" style="position:absolute;z-index:-250609660;o:allowoverlap:true;o:allowincell:true;mso-position-horizontal-relative:text;margin-left:-2.30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9" behindDoc="1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1028065</wp:posOffset>
              </wp:positionV>
              <wp:extent cx="2443480" cy="1490980"/>
              <wp:effectExtent l="0" t="0" r="0" b="0"/>
              <wp:wrapNone/>
              <wp:docPr id="6" name="_x0000_s20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5" o:spid="_x0000_s5" o:spt="1" type="#_x0000_t1" style="position:absolute;z-index:-250609659;o:allowoverlap:true;o:allowincell:true;mso-position-horizontal-relative:text;margin-left:258.60pt;mso-position-horizontal:absolute;mso-position-vertical-relative:text;margin-top:80.95pt;mso-position-vertical:absolute;width:192.40pt;height:117.4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8" behindDoc="1" locked="0" layoutInCell="1" allowOverlap="1">
              <wp:simplePos x="0" y="0"/>
              <wp:positionH relativeFrom="column">
                <wp:posOffset>3281045</wp:posOffset>
              </wp:positionH>
              <wp:positionV relativeFrom="paragraph">
                <wp:posOffset>-39369</wp:posOffset>
              </wp:positionV>
              <wp:extent cx="3002915" cy="1131570"/>
              <wp:effectExtent l="0" t="0" r="0" b="0"/>
              <wp:wrapNone/>
              <wp:docPr id="7" name="_x0000_s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002915" cy="113157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Филиал ПАО «Россети Московский регион» -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Западные электрические сети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РФ, 143006, Московская обл., г. Одинцово, Транспортный проезд, д. 32 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Тел.: 8 (495) 5257300 вн. 21-56 канцелярия, 8 (495) 5257302 приемная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"http://www.rossetimr.ru/"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www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e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-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mail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: </w:t>
                          </w:r>
                          <w:r>
                            <w:fldChar w:fldCharType="begin"/>
                          </w:r>
                          <w:r>
                            <w:instrText xml:space="preserve"> HYPERLINK "mailto:zes@rossetimr.ru"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zes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@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ОКПО 77293314, ОГРН 1057746555811, ИНН 5036065113, КПП 503243001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6" o:spid="_x0000_s6" o:spt="1" type="#_x0000_t1" style="position:absolute;z-index:-250609658;o:allowoverlap:true;o:allowincell:true;mso-position-horizontal-relative:text;margin-left:258.35pt;mso-position-horizontal:absolute;mso-position-vertical-relative:text;margin-top:-3.10pt;mso-position-vertical:absolute;width:236.45pt;height:89.1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Филиал ПАО «Россети Московский регион» -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Западные электрические сети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РФ, 143006, Московская обл., г. Одинцово, Транспортный проезд, д. 32 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Тел.: 8 (495) 5257300 вн. 21-56 канцелярия, 8 (495) 5257302 приемная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instrText xml:space="preserve"> HYPERLINK "http://www.rossetimr.ru/"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www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e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-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mail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: </w:t>
                    </w:r>
                    <w:r>
                      <w:fldChar w:fldCharType="begin"/>
                    </w:r>
                    <w:r>
                      <w:instrText xml:space="preserve"> HYPERLINK "mailto:zes@rossetimr.ru"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zes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@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ОКПО 77293314, ОГРН 1057746555811, ИНН 5036065113, КПП 503243001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7" behindDoc="1" locked="0" layoutInCell="1" allowOverlap="1">
              <wp:simplePos x="0" y="0"/>
              <wp:positionH relativeFrom="column">
                <wp:posOffset>-432434</wp:posOffset>
              </wp:positionH>
              <wp:positionV relativeFrom="paragraph">
                <wp:posOffset>1016635</wp:posOffset>
              </wp:positionV>
              <wp:extent cx="1091565" cy="253365"/>
              <wp:effectExtent l="0" t="0" r="0" b="0"/>
              <wp:wrapNone/>
              <wp:docPr id="8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Июнь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 2026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202</w:t>
                          </w:r>
                          <w:r>
                            <w:rPr>
                              <w:color w:val="000000"/>
                            </w:rPr>
                            <w:t xml:space="preserve"> 2025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7" o:spid="_x0000_s7" o:spt="1" type="#_x0000_t1" style="position:absolute;z-index:-250609657;o:allowoverlap:true;o:allowincell:true;mso-position-horizontal-relative:text;margin-left:-34.05pt;mso-position-horizontal:absolute;mso-position-vertical-relative:text;margin-top:80.0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Июнь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2026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202</w:t>
                    </w:r>
                    <w:r>
                      <w:rPr>
                        <w:color w:val="000000"/>
                      </w:rPr>
                      <w:t xml:space="preserve"> 2025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6" behindDoc="1" locked="0" layoutInCell="1" allowOverlap="1">
              <wp:simplePos x="0" y="0"/>
              <wp:positionH relativeFrom="column">
                <wp:posOffset>862965</wp:posOffset>
              </wp:positionH>
              <wp:positionV relativeFrom="paragraph">
                <wp:posOffset>1020445</wp:posOffset>
              </wp:positionV>
              <wp:extent cx="1091565" cy="253365"/>
              <wp:effectExtent l="0" t="0" r="0" b="0"/>
              <wp:wrapNone/>
              <wp:docPr id="9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8" o:spid="_x0000_s8" o:spt="1" type="#_x0000_t1" style="position:absolute;z-index:-250609656;o:allowoverlap:true;o:allowincell:true;mso-position-horizontal-relative:text;margin-left:67.95pt;mso-position-horizontal:absolute;mso-position-vertical-relative:text;margin-top:80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5" behindDoc="1" locked="0" layoutInCell="1" allowOverlap="1">
              <wp:simplePos x="0" y="0"/>
              <wp:positionH relativeFrom="column">
                <wp:posOffset>-428624</wp:posOffset>
              </wp:positionH>
              <wp:positionV relativeFrom="paragraph">
                <wp:posOffset>1249045</wp:posOffset>
              </wp:positionV>
              <wp:extent cx="1091565" cy="253365"/>
              <wp:effectExtent l="0" t="0" r="0" b="0"/>
              <wp:wrapNone/>
              <wp:docPr id="10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9" o:spid="_x0000_s9" o:spt="1" type="#_x0000_t1" style="position:absolute;z-index:-250609655;o:allowoverlap:true;o:allowincell:true;mso-position-horizontal-relative:text;margin-left:-33.75pt;mso-position-horizontal:absolute;mso-position-vertical-relative:text;margin-top:98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4" behindDoc="1" locked="0" layoutInCell="1" allowOverlap="1">
              <wp:simplePos x="0" y="0"/>
              <wp:positionH relativeFrom="column">
                <wp:posOffset>866775</wp:posOffset>
              </wp:positionH>
              <wp:positionV relativeFrom="paragraph">
                <wp:posOffset>1252855</wp:posOffset>
              </wp:positionV>
              <wp:extent cx="1091565" cy="253365"/>
              <wp:effectExtent l="0" t="0" r="0" b="0"/>
              <wp:wrapNone/>
              <wp:docPr id="1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0" o:spid="_x0000_s10" o:spt="1" type="#_x0000_t1" style="position:absolute;z-index:-250609654;o:allowoverlap:true;o:allowincell:true;mso-position-horizontal-relative:text;margin-left:68.25pt;mso-position-horizontal:absolute;mso-position-vertical-relative:text;margin-top:98.6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927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thaiNumbers"/>
      <w:isLgl w:val="false"/>
      <w:suff w:val="tab"/>
      <w:lvlText w:val="%2)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9008" w:hanging="360"/>
        <w:tabs>
          <w:tab w:val="num" w:pos="8288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pStyle w:val="127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127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31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0"/>
  </w:num>
  <w:num w:numId="6">
    <w:abstractNumId w:val="7"/>
    <w:lvlOverride w:ilvl="0">
      <w:startOverride w:val="1"/>
    </w:lvlOverride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</w:num>
  <w:num w:numId="14">
    <w:abstractNumId w:val="5"/>
    <w:lvlOverride w:ilvl="0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98">
    <w:name w:val="Heading 1"/>
    <w:basedOn w:val="1276"/>
    <w:next w:val="1276"/>
    <w:link w:val="1099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099">
    <w:name w:val="Heading 1 Char"/>
    <w:link w:val="1098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100">
    <w:name w:val="Heading 2"/>
    <w:basedOn w:val="1276"/>
    <w:next w:val="1276"/>
    <w:link w:val="1101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101">
    <w:name w:val="Heading 2 Char"/>
    <w:link w:val="1100"/>
    <w:uiPriority w:val="9"/>
    <w:rPr>
      <w:rFonts w:ascii="Liberation Sans" w:hAnsi="Liberation Sans" w:eastAsia="Liberation Sans" w:cs="Liberation Sans"/>
      <w:sz w:val="34"/>
    </w:rPr>
  </w:style>
  <w:style w:type="paragraph" w:styleId="1102">
    <w:name w:val="Heading 3"/>
    <w:basedOn w:val="1276"/>
    <w:next w:val="1276"/>
    <w:link w:val="110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103">
    <w:name w:val="Heading 3 Char"/>
    <w:link w:val="110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104">
    <w:name w:val="Heading 4"/>
    <w:basedOn w:val="1276"/>
    <w:next w:val="1276"/>
    <w:link w:val="110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105">
    <w:name w:val="Heading 4 Char"/>
    <w:link w:val="110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106">
    <w:name w:val="Heading 5"/>
    <w:basedOn w:val="1276"/>
    <w:next w:val="1276"/>
    <w:link w:val="110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107">
    <w:name w:val="Heading 5 Char"/>
    <w:link w:val="110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108">
    <w:name w:val="Heading 6"/>
    <w:basedOn w:val="1276"/>
    <w:next w:val="1276"/>
    <w:link w:val="110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109">
    <w:name w:val="Heading 6 Char"/>
    <w:link w:val="110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110">
    <w:name w:val="Heading 7"/>
    <w:basedOn w:val="1276"/>
    <w:next w:val="1276"/>
    <w:link w:val="111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111">
    <w:name w:val="Heading 7 Char"/>
    <w:link w:val="111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112">
    <w:name w:val="Heading 8"/>
    <w:basedOn w:val="1276"/>
    <w:next w:val="1276"/>
    <w:link w:val="111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113">
    <w:name w:val="Heading 8 Char"/>
    <w:link w:val="111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114">
    <w:name w:val="Heading 9"/>
    <w:basedOn w:val="1276"/>
    <w:next w:val="1276"/>
    <w:link w:val="111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115">
    <w:name w:val="Heading 9 Char"/>
    <w:link w:val="111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116">
    <w:name w:val="List Paragraph"/>
    <w:basedOn w:val="1276"/>
    <w:uiPriority w:val="34"/>
    <w:qFormat/>
    <w:pPr>
      <w:contextualSpacing/>
      <w:ind w:left="720"/>
    </w:pPr>
  </w:style>
  <w:style w:type="paragraph" w:styleId="1117">
    <w:name w:val="No Spacing"/>
    <w:uiPriority w:val="1"/>
    <w:qFormat/>
    <w:pPr>
      <w:spacing w:before="0" w:after="0" w:line="240" w:lineRule="auto"/>
    </w:pPr>
  </w:style>
  <w:style w:type="paragraph" w:styleId="1118">
    <w:name w:val="Title"/>
    <w:basedOn w:val="1276"/>
    <w:next w:val="1276"/>
    <w:link w:val="11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119">
    <w:name w:val="Title Char"/>
    <w:link w:val="1118"/>
    <w:uiPriority w:val="10"/>
    <w:rPr>
      <w:sz w:val="48"/>
      <w:szCs w:val="48"/>
    </w:rPr>
  </w:style>
  <w:style w:type="paragraph" w:styleId="1120">
    <w:name w:val="Subtitle"/>
    <w:basedOn w:val="1276"/>
    <w:next w:val="1276"/>
    <w:link w:val="1121"/>
    <w:uiPriority w:val="11"/>
    <w:qFormat/>
    <w:pPr>
      <w:spacing w:before="200" w:after="200"/>
    </w:pPr>
    <w:rPr>
      <w:sz w:val="24"/>
      <w:szCs w:val="24"/>
    </w:rPr>
  </w:style>
  <w:style w:type="character" w:styleId="1121">
    <w:name w:val="Subtitle Char"/>
    <w:link w:val="1120"/>
    <w:uiPriority w:val="11"/>
    <w:rPr>
      <w:sz w:val="24"/>
      <w:szCs w:val="24"/>
    </w:rPr>
  </w:style>
  <w:style w:type="paragraph" w:styleId="1122">
    <w:name w:val="Quote"/>
    <w:basedOn w:val="1276"/>
    <w:next w:val="1276"/>
    <w:link w:val="1123"/>
    <w:uiPriority w:val="29"/>
    <w:qFormat/>
    <w:pPr>
      <w:ind w:left="720" w:right="720"/>
    </w:pPr>
    <w:rPr>
      <w:i/>
    </w:rPr>
  </w:style>
  <w:style w:type="character" w:styleId="1123">
    <w:name w:val="Quote Char"/>
    <w:link w:val="1122"/>
    <w:uiPriority w:val="29"/>
    <w:rPr>
      <w:i/>
    </w:rPr>
  </w:style>
  <w:style w:type="paragraph" w:styleId="1124">
    <w:name w:val="Intense Quote"/>
    <w:basedOn w:val="1276"/>
    <w:next w:val="1276"/>
    <w:link w:val="11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25">
    <w:name w:val="Intense Quote Char"/>
    <w:link w:val="1124"/>
    <w:uiPriority w:val="30"/>
    <w:rPr>
      <w:i/>
    </w:rPr>
  </w:style>
  <w:style w:type="paragraph" w:styleId="1126">
    <w:name w:val="Header"/>
    <w:basedOn w:val="1276"/>
    <w:link w:val="11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7">
    <w:name w:val="Header Char"/>
    <w:link w:val="1126"/>
    <w:uiPriority w:val="99"/>
  </w:style>
  <w:style w:type="paragraph" w:styleId="1128">
    <w:name w:val="Footer"/>
    <w:basedOn w:val="1276"/>
    <w:link w:val="11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9">
    <w:name w:val="Footer Char"/>
    <w:link w:val="1128"/>
    <w:uiPriority w:val="99"/>
  </w:style>
  <w:style w:type="paragraph" w:styleId="1130">
    <w:name w:val="Caption"/>
    <w:basedOn w:val="1276"/>
    <w:next w:val="1276"/>
    <w:link w:val="11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131">
    <w:name w:val="Caption Char"/>
    <w:link w:val="1130"/>
    <w:uiPriority w:val="35"/>
    <w:rPr>
      <w:b/>
      <w:bCs/>
      <w:color w:val="4f81bd" w:themeColor="accent1"/>
      <w:sz w:val="18"/>
      <w:szCs w:val="18"/>
    </w:rPr>
  </w:style>
  <w:style w:type="table" w:styleId="113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3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3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6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6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6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6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6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6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6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6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16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17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17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17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17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17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17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17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17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17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17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9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9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9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9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20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20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20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22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22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22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22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22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22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23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23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23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23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23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23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23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23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3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3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4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4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4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4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5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5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25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5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25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25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25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25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258">
    <w:name w:val="Hyperlink"/>
    <w:uiPriority w:val="99"/>
    <w:unhideWhenUsed/>
    <w:rPr>
      <w:color w:val="0000ff" w:themeColor="hyperlink"/>
      <w:u w:val="single"/>
    </w:rPr>
  </w:style>
  <w:style w:type="paragraph" w:styleId="1259">
    <w:name w:val="footnote text"/>
    <w:basedOn w:val="1276"/>
    <w:link w:val="1260"/>
    <w:uiPriority w:val="99"/>
    <w:semiHidden/>
    <w:unhideWhenUsed/>
    <w:pPr>
      <w:spacing w:after="40" w:line="240" w:lineRule="auto"/>
    </w:pPr>
    <w:rPr>
      <w:sz w:val="18"/>
    </w:rPr>
  </w:style>
  <w:style w:type="character" w:styleId="1260">
    <w:name w:val="Footnote Text Char"/>
    <w:link w:val="1259"/>
    <w:uiPriority w:val="99"/>
    <w:rPr>
      <w:sz w:val="18"/>
    </w:rPr>
  </w:style>
  <w:style w:type="character" w:styleId="1261">
    <w:name w:val="footnote reference"/>
    <w:uiPriority w:val="99"/>
    <w:unhideWhenUsed/>
    <w:rPr>
      <w:vertAlign w:val="superscript"/>
    </w:rPr>
  </w:style>
  <w:style w:type="paragraph" w:styleId="1262">
    <w:name w:val="endnote text"/>
    <w:basedOn w:val="1276"/>
    <w:link w:val="1263"/>
    <w:uiPriority w:val="99"/>
    <w:semiHidden/>
    <w:unhideWhenUsed/>
    <w:pPr>
      <w:spacing w:after="0" w:line="240" w:lineRule="auto"/>
    </w:pPr>
    <w:rPr>
      <w:sz w:val="20"/>
    </w:rPr>
  </w:style>
  <w:style w:type="character" w:styleId="1263">
    <w:name w:val="Endnote Text Char"/>
    <w:link w:val="1262"/>
    <w:uiPriority w:val="99"/>
    <w:rPr>
      <w:sz w:val="20"/>
    </w:rPr>
  </w:style>
  <w:style w:type="character" w:styleId="1264">
    <w:name w:val="endnote reference"/>
    <w:uiPriority w:val="99"/>
    <w:semiHidden/>
    <w:unhideWhenUsed/>
    <w:rPr>
      <w:vertAlign w:val="superscript"/>
    </w:rPr>
  </w:style>
  <w:style w:type="paragraph" w:styleId="1265">
    <w:name w:val="toc 1"/>
    <w:basedOn w:val="1276"/>
    <w:next w:val="1276"/>
    <w:uiPriority w:val="39"/>
    <w:unhideWhenUsed/>
    <w:pPr>
      <w:ind w:left="0" w:right="0" w:firstLine="0"/>
      <w:spacing w:after="57"/>
    </w:pPr>
  </w:style>
  <w:style w:type="paragraph" w:styleId="1266">
    <w:name w:val="toc 2"/>
    <w:basedOn w:val="1276"/>
    <w:next w:val="1276"/>
    <w:uiPriority w:val="39"/>
    <w:unhideWhenUsed/>
    <w:pPr>
      <w:ind w:left="283" w:right="0" w:firstLine="0"/>
      <w:spacing w:after="57"/>
    </w:pPr>
  </w:style>
  <w:style w:type="paragraph" w:styleId="1267">
    <w:name w:val="toc 3"/>
    <w:basedOn w:val="1276"/>
    <w:next w:val="1276"/>
    <w:uiPriority w:val="39"/>
    <w:unhideWhenUsed/>
    <w:pPr>
      <w:ind w:left="567" w:right="0" w:firstLine="0"/>
      <w:spacing w:after="57"/>
    </w:pPr>
  </w:style>
  <w:style w:type="paragraph" w:styleId="1268">
    <w:name w:val="toc 4"/>
    <w:basedOn w:val="1276"/>
    <w:next w:val="1276"/>
    <w:uiPriority w:val="39"/>
    <w:unhideWhenUsed/>
    <w:pPr>
      <w:ind w:left="850" w:right="0" w:firstLine="0"/>
      <w:spacing w:after="57"/>
    </w:pPr>
  </w:style>
  <w:style w:type="paragraph" w:styleId="1269">
    <w:name w:val="toc 5"/>
    <w:basedOn w:val="1276"/>
    <w:next w:val="1276"/>
    <w:uiPriority w:val="39"/>
    <w:unhideWhenUsed/>
    <w:pPr>
      <w:ind w:left="1134" w:right="0" w:firstLine="0"/>
      <w:spacing w:after="57"/>
    </w:pPr>
  </w:style>
  <w:style w:type="paragraph" w:styleId="1270">
    <w:name w:val="toc 6"/>
    <w:basedOn w:val="1276"/>
    <w:next w:val="1276"/>
    <w:uiPriority w:val="39"/>
    <w:unhideWhenUsed/>
    <w:pPr>
      <w:ind w:left="1417" w:right="0" w:firstLine="0"/>
      <w:spacing w:after="57"/>
    </w:pPr>
  </w:style>
  <w:style w:type="paragraph" w:styleId="1271">
    <w:name w:val="toc 7"/>
    <w:basedOn w:val="1276"/>
    <w:next w:val="1276"/>
    <w:uiPriority w:val="39"/>
    <w:unhideWhenUsed/>
    <w:pPr>
      <w:ind w:left="1701" w:right="0" w:firstLine="0"/>
      <w:spacing w:after="57"/>
    </w:pPr>
  </w:style>
  <w:style w:type="paragraph" w:styleId="1272">
    <w:name w:val="toc 8"/>
    <w:basedOn w:val="1276"/>
    <w:next w:val="1276"/>
    <w:uiPriority w:val="39"/>
    <w:unhideWhenUsed/>
    <w:pPr>
      <w:ind w:left="1984" w:right="0" w:firstLine="0"/>
      <w:spacing w:after="57"/>
    </w:pPr>
  </w:style>
  <w:style w:type="paragraph" w:styleId="1273">
    <w:name w:val="toc 9"/>
    <w:basedOn w:val="1276"/>
    <w:next w:val="1276"/>
    <w:uiPriority w:val="39"/>
    <w:unhideWhenUsed/>
    <w:pPr>
      <w:ind w:left="2268" w:right="0" w:firstLine="0"/>
      <w:spacing w:after="57"/>
    </w:pPr>
  </w:style>
  <w:style w:type="paragraph" w:styleId="1274">
    <w:name w:val="TOC Heading"/>
    <w:uiPriority w:val="39"/>
    <w:unhideWhenUsed/>
  </w:style>
  <w:style w:type="paragraph" w:styleId="1275">
    <w:name w:val="table of figures"/>
    <w:basedOn w:val="1276"/>
    <w:next w:val="1276"/>
    <w:uiPriority w:val="99"/>
    <w:unhideWhenUsed/>
    <w:pPr>
      <w:spacing w:after="0" w:afterAutospacing="0"/>
    </w:pPr>
  </w:style>
  <w:style w:type="paragraph" w:styleId="1276" w:default="1">
    <w:name w:val="Normal"/>
    <w:next w:val="1276"/>
    <w:link w:val="1276"/>
    <w:qFormat/>
    <w:rPr>
      <w:sz w:val="24"/>
      <w:szCs w:val="24"/>
      <w:lang w:val="ru-RU" w:eastAsia="ru-RU" w:bidi="ar-SA"/>
    </w:rPr>
  </w:style>
  <w:style w:type="paragraph" w:styleId="1277">
    <w:name w:val="Заголовок 1"/>
    <w:basedOn w:val="1276"/>
    <w:next w:val="1276"/>
    <w:link w:val="1290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1278">
    <w:name w:val="Заголовок 2"/>
    <w:basedOn w:val="1276"/>
    <w:next w:val="1276"/>
    <w:link w:val="1291"/>
    <w:uiPriority w:val="9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1279">
    <w:name w:val="Заголовок 3"/>
    <w:basedOn w:val="1276"/>
    <w:next w:val="1276"/>
    <w:link w:val="1276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ru-RU"/>
    </w:rPr>
  </w:style>
  <w:style w:type="character" w:styleId="1280">
    <w:name w:val="Основной шрифт абзаца"/>
    <w:next w:val="1280"/>
    <w:link w:val="1276"/>
    <w:uiPriority w:val="1"/>
    <w:unhideWhenUsed/>
  </w:style>
  <w:style w:type="table" w:styleId="1281">
    <w:name w:val="Обычная таблица"/>
    <w:next w:val="1281"/>
    <w:link w:val="1276"/>
    <w:uiPriority w:val="99"/>
    <w:semiHidden/>
    <w:unhideWhenUsed/>
    <w:tblPr/>
  </w:style>
  <w:style w:type="numbering" w:styleId="1282">
    <w:name w:val="Нет списка"/>
    <w:next w:val="1282"/>
    <w:link w:val="1276"/>
    <w:uiPriority w:val="99"/>
    <w:semiHidden/>
    <w:unhideWhenUsed/>
  </w:style>
  <w:style w:type="character" w:styleId="1283">
    <w:name w:val="Верхний колонтитул Знак"/>
    <w:next w:val="1283"/>
    <w:link w:val="1307"/>
    <w:uiPriority w:val="99"/>
    <w:qFormat/>
    <w:rPr>
      <w:sz w:val="24"/>
      <w:szCs w:val="24"/>
    </w:rPr>
  </w:style>
  <w:style w:type="character" w:styleId="1284">
    <w:name w:val="Нижний колонтитул Знак"/>
    <w:next w:val="1284"/>
    <w:link w:val="1308"/>
    <w:uiPriority w:val="99"/>
    <w:qFormat/>
    <w:rPr>
      <w:sz w:val="24"/>
      <w:szCs w:val="24"/>
    </w:rPr>
  </w:style>
  <w:style w:type="character" w:styleId="1285">
    <w:name w:val="Гиперссылка"/>
    <w:next w:val="1285"/>
    <w:link w:val="1276"/>
    <w:rPr>
      <w:color w:val="0000ff"/>
      <w:u w:val="single"/>
    </w:rPr>
  </w:style>
  <w:style w:type="character" w:styleId="1286">
    <w:name w:val="Название Знак1"/>
    <w:next w:val="1286"/>
    <w:link w:val="1312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7">
    <w:name w:val="Название Знак"/>
    <w:next w:val="1287"/>
    <w:link w:val="1276"/>
    <w:qFormat/>
    <w:rPr>
      <w:rFonts w:ascii="Calibri Light" w:hAnsi="Calibri Light" w:eastAsia="Calibri Light" w:cs="Calibri Light"/>
      <w:color w:val="323e4f"/>
      <w:spacing w:val="5"/>
      <w:sz w:val="52"/>
      <w:szCs w:val="52"/>
    </w:rPr>
  </w:style>
  <w:style w:type="character" w:styleId="1288">
    <w:name w:val="Заголовок Знак"/>
    <w:next w:val="1288"/>
    <w:link w:val="1276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9">
    <w:name w:val="Текст выноски Знак"/>
    <w:next w:val="1289"/>
    <w:link w:val="1313"/>
    <w:uiPriority w:val="99"/>
    <w:semiHidden/>
    <w:qFormat/>
    <w:rPr>
      <w:rFonts w:ascii="Tahoma" w:hAnsi="Tahoma" w:cs="Tahoma"/>
      <w:sz w:val="16"/>
      <w:szCs w:val="16"/>
    </w:rPr>
  </w:style>
  <w:style w:type="character" w:styleId="1290">
    <w:name w:val="Заголовок 1 Знак"/>
    <w:next w:val="1290"/>
    <w:link w:val="1277"/>
    <w:qFormat/>
    <w:rPr>
      <w:rFonts w:ascii="Arial" w:hAnsi="Arial"/>
      <w:b/>
      <w:sz w:val="40"/>
    </w:rPr>
  </w:style>
  <w:style w:type="character" w:styleId="1291">
    <w:name w:val="Заголовок 2 Знак"/>
    <w:next w:val="1291"/>
    <w:link w:val="1278"/>
    <w:uiPriority w:val="9"/>
    <w:qFormat/>
    <w:rPr>
      <w:b/>
      <w:sz w:val="32"/>
    </w:rPr>
  </w:style>
  <w:style w:type="character" w:styleId="1292">
    <w:name w:val="Текст сноски Знак"/>
    <w:basedOn w:val="1280"/>
    <w:next w:val="1292"/>
    <w:link w:val="1318"/>
    <w:semiHidden/>
    <w:qFormat/>
  </w:style>
  <w:style w:type="character" w:styleId="1293">
    <w:name w:val="Символ сноски"/>
    <w:next w:val="1293"/>
    <w:link w:val="1276"/>
    <w:uiPriority w:val="99"/>
    <w:semiHidden/>
    <w:unhideWhenUsed/>
    <w:qFormat/>
    <w:rPr>
      <w:rFonts w:ascii="Times New Roman" w:hAnsi="Times New Roman" w:cs="Times New Roman"/>
      <w:vertAlign w:val="superscript"/>
    </w:rPr>
  </w:style>
  <w:style w:type="character" w:styleId="1294">
    <w:name w:val="Знак сноски"/>
    <w:next w:val="1294"/>
    <w:link w:val="1276"/>
    <w:rPr>
      <w:rFonts w:ascii="Times New Roman" w:hAnsi="Times New Roman" w:cs="Times New Roman"/>
      <w:vertAlign w:val="superscript"/>
    </w:rPr>
  </w:style>
  <w:style w:type="character" w:styleId="1295">
    <w:name w:val="Символ концевой сноски"/>
    <w:next w:val="1295"/>
    <w:link w:val="1276"/>
    <w:qFormat/>
    <w:rPr>
      <w:vertAlign w:val="superscript"/>
    </w:rPr>
  </w:style>
  <w:style w:type="character" w:styleId="1296">
    <w:name w:val="Знак концевой сноски"/>
    <w:next w:val="1296"/>
    <w:link w:val="1276"/>
    <w:rPr>
      <w:vertAlign w:val="superscript"/>
    </w:rPr>
  </w:style>
  <w:style w:type="character" w:styleId="1297">
    <w:name w:val="WW8Num21z0"/>
    <w:next w:val="1297"/>
    <w:link w:val="1276"/>
    <w:qFormat/>
    <w:rPr>
      <w:rFonts w:cs="Times New Roman"/>
    </w:rPr>
  </w:style>
  <w:style w:type="character" w:styleId="1298">
    <w:name w:val="WW8Num3z0"/>
    <w:next w:val="1298"/>
    <w:link w:val="1276"/>
    <w:qFormat/>
  </w:style>
  <w:style w:type="character" w:styleId="1299">
    <w:name w:val="WW8Num37z0"/>
    <w:next w:val="1299"/>
    <w:link w:val="1276"/>
    <w:qFormat/>
  </w:style>
  <w:style w:type="character" w:styleId="1300">
    <w:name w:val="WW8Num38z0"/>
    <w:next w:val="1300"/>
    <w:link w:val="1276"/>
    <w:qFormat/>
    <w:rPr>
      <w:rFonts w:cs="Times New Roman"/>
    </w:rPr>
  </w:style>
  <w:style w:type="paragraph" w:styleId="1301">
    <w:name w:val="Заголовок"/>
    <w:basedOn w:val="1276"/>
    <w:next w:val="1302"/>
    <w:link w:val="1276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1302">
    <w:name w:val="Основной текст"/>
    <w:basedOn w:val="1276"/>
    <w:next w:val="1302"/>
    <w:link w:val="1276"/>
    <w:pPr>
      <w:spacing w:before="0" w:after="140" w:line="276" w:lineRule="auto"/>
    </w:pPr>
  </w:style>
  <w:style w:type="paragraph" w:styleId="1303">
    <w:name w:val="Список"/>
    <w:basedOn w:val="1302"/>
    <w:next w:val="1303"/>
    <w:link w:val="1276"/>
    <w:rPr>
      <w:rFonts w:cs="Noto Sans"/>
    </w:rPr>
  </w:style>
  <w:style w:type="paragraph" w:styleId="1304">
    <w:name w:val="Название объекта"/>
    <w:basedOn w:val="1276"/>
    <w:next w:val="1304"/>
    <w:link w:val="1276"/>
    <w:qFormat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1305">
    <w:name w:val="Указатель"/>
    <w:basedOn w:val="1276"/>
    <w:next w:val="1305"/>
    <w:link w:val="1276"/>
    <w:qFormat/>
    <w:pPr>
      <w:suppressLineNumbers/>
    </w:pPr>
    <w:rPr>
      <w:rFonts w:cs="Noto Sans"/>
    </w:rPr>
  </w:style>
  <w:style w:type="paragraph" w:styleId="1306">
    <w:name w:val="Колонтитул"/>
    <w:basedOn w:val="1276"/>
    <w:next w:val="1306"/>
    <w:link w:val="1276"/>
    <w:qFormat/>
  </w:style>
  <w:style w:type="paragraph" w:styleId="1307">
    <w:name w:val="Верхний колонтитул"/>
    <w:basedOn w:val="1276"/>
    <w:next w:val="1307"/>
    <w:link w:val="1283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8">
    <w:name w:val="Нижний колонтитул"/>
    <w:basedOn w:val="1276"/>
    <w:next w:val="1308"/>
    <w:link w:val="1284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9">
    <w:name w:val="Абзац списка"/>
    <w:basedOn w:val="1276"/>
    <w:next w:val="1309"/>
    <w:link w:val="1276"/>
    <w:qFormat/>
    <w:pPr>
      <w:ind w:left="720" w:right="0" w:firstLine="0"/>
      <w:spacing w:before="280" w:after="280"/>
    </w:pPr>
    <w:rPr>
      <w:rFonts w:eastAsia="Calibri"/>
    </w:rPr>
  </w:style>
  <w:style w:type="paragraph" w:styleId="1310">
    <w:name w:val="Default"/>
    <w:next w:val="1310"/>
    <w:link w:val="1276"/>
    <w:qFormat/>
    <w:rPr>
      <w:color w:val="000000"/>
      <w:sz w:val="24"/>
      <w:szCs w:val="24"/>
      <w:lang w:val="ru-RU" w:eastAsia="ru-RU" w:bidi="ar-SA"/>
    </w:rPr>
  </w:style>
  <w:style w:type="paragraph" w:styleId="1311">
    <w:name w:val="a9"/>
    <w:basedOn w:val="1276"/>
    <w:next w:val="1276"/>
    <w:link w:val="1276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1312">
    <w:name w:val="Название"/>
    <w:basedOn w:val="1276"/>
    <w:next w:val="1276"/>
    <w:link w:val="1286"/>
    <w:qFormat/>
    <w:pPr>
      <w:contextualSpacing/>
      <w:spacing w:before="0" w:after="300"/>
      <w:pBdr>
        <w:bottom w:val="single" w:color="5B9BD5" w:sz="8" w:space="4"/>
      </w:pBdr>
    </w:pPr>
    <w:rPr>
      <w:rFonts w:ascii="Calibri Light" w:hAnsi="Calibri Light"/>
      <w:b/>
      <w:bCs/>
      <w:sz w:val="32"/>
      <w:szCs w:val="32"/>
    </w:rPr>
  </w:style>
  <w:style w:type="paragraph" w:styleId="1313">
    <w:name w:val="Текст выноски"/>
    <w:basedOn w:val="1276"/>
    <w:next w:val="1313"/>
    <w:link w:val="128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1314">
    <w:name w:val="Пункт"/>
    <w:basedOn w:val="1276"/>
    <w:next w:val="1314"/>
    <w:link w:val="1276"/>
    <w:qFormat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1315">
    <w:name w:val="Подпункт"/>
    <w:basedOn w:val="1314"/>
    <w:next w:val="1315"/>
    <w:link w:val="1276"/>
    <w:qFormat/>
  </w:style>
  <w:style w:type="paragraph" w:styleId="1316">
    <w:name w:val="Подподпункт"/>
    <w:basedOn w:val="1315"/>
    <w:next w:val="1316"/>
    <w:link w:val="1276"/>
    <w:qFormat/>
  </w:style>
  <w:style w:type="paragraph" w:styleId="1317">
    <w:name w:val="Нумерованный список"/>
    <w:basedOn w:val="1276"/>
    <w:next w:val="1317"/>
    <w:link w:val="1276"/>
    <w:pPr>
      <w:jc w:val="both"/>
      <w:spacing w:before="60" w:after="0" w:line="360" w:lineRule="auto"/>
    </w:pPr>
    <w:rPr>
      <w:sz w:val="28"/>
    </w:rPr>
  </w:style>
  <w:style w:type="paragraph" w:styleId="1318">
    <w:name w:val="Текст сноски"/>
    <w:basedOn w:val="1276"/>
    <w:next w:val="1318"/>
    <w:link w:val="1292"/>
    <w:semiHidden/>
    <w:unhideWhenUsed/>
    <w:rPr>
      <w:sz w:val="20"/>
      <w:szCs w:val="20"/>
    </w:rPr>
  </w:style>
  <w:style w:type="paragraph" w:styleId="1319">
    <w:name w:val="Содержимое врезки"/>
    <w:basedOn w:val="1276"/>
    <w:next w:val="1319"/>
    <w:link w:val="1276"/>
    <w:qFormat/>
  </w:style>
  <w:style w:type="numbering" w:styleId="1320">
    <w:name w:val="WW8Num21"/>
    <w:next w:val="1320"/>
    <w:link w:val="1276"/>
    <w:qFormat/>
  </w:style>
  <w:style w:type="numbering" w:styleId="1321">
    <w:name w:val="WW8Num3"/>
    <w:next w:val="1321"/>
    <w:link w:val="1276"/>
    <w:qFormat/>
  </w:style>
  <w:style w:type="numbering" w:styleId="1322">
    <w:name w:val="WW8Num37"/>
    <w:next w:val="1322"/>
    <w:link w:val="1276"/>
    <w:qFormat/>
  </w:style>
  <w:style w:type="numbering" w:styleId="1323">
    <w:name w:val="WW8Num38"/>
    <w:next w:val="1323"/>
    <w:link w:val="1276"/>
    <w:qFormat/>
  </w:style>
  <w:style w:type="character" w:styleId="1324" w:default="1">
    <w:name w:val="Default Paragraph Font"/>
    <w:uiPriority w:val="1"/>
    <w:semiHidden/>
    <w:unhideWhenUsed/>
  </w:style>
  <w:style w:type="numbering" w:styleId="1325" w:default="1">
    <w:name w:val="No List"/>
    <w:uiPriority w:val="99"/>
    <w:semiHidden/>
    <w:unhideWhenUsed/>
  </w:style>
  <w:style w:type="table" w:styleId="13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TopS BI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dc:language>ru-RU</dc:language>
  <cp:lastModifiedBy>zinoveva-ev</cp:lastModifiedBy>
  <cp:revision>13</cp:revision>
  <dcterms:created xsi:type="dcterms:W3CDTF">2026-07-22T11:49:00Z</dcterms:created>
  <dcterms:modified xsi:type="dcterms:W3CDTF">2026-09-09T08:33:30Z</dcterms:modified>
  <cp:version>1048576</cp:version>
</cp:coreProperties>
</file>